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Dals-Ed kommunfullmäktige</w:t>
      </w:r>
    </w:p>
    <w:p>
      <w:pPr>
        <w:pStyle w:val="Heading1"/>
      </w:pPr>
      <w:r>
        <w:t xml:space="preserve">Fler fast anställda inom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Dals-Ed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Dals-Ed har enligt Kolada 2024 lägre andel fast anställda i hemtjänsten än länsgenomsnittet. Timanställningar leder till sämre kontinuitet för äldre och högre sjukfrånvaro. Brist på trygga villkor försvårar rekrytering i glesbygd.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Dals-Ed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socialnämnden i uppdrag att öka andelen tillsvidareanställda inom hemtjänsten till minst 80 procent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socialnämnden får i uppdrag att ta fram en rekryterings- och utbildningsplan tillsammans med Vuxenutbildningen.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budgetramen för socialnämnden 2027 förstärks med 2,5 mnkr för att möjliggöra fler fasta tjänster.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uppföljningsrapport lämnas till kommunfullmäktige under hösten 2027.</w:t>
      </w:r>
    </w:p>
    <w:p>
      <w:pPr>
        <w:spacing w:before="360"/>
      </w:pPr>
    </w:p>
    <w:p>
      <w:r>
        <w:t xml:space="preserve">Dals-Ed,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Dals-Ed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2026-07-13T23:46:47.478Z</dcterms:created>
  <dcterms:modified xsi:type="dcterms:W3CDTF">2026-07-13T23:46:47.478Z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